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三季度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三季度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核与辐射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12</w:t>
      </w:r>
      <w:bookmarkStart w:id="0" w:name="_GoBack"/>
      <w:bookmarkEnd w:id="0"/>
      <w:r>
        <w:rPr>
          <w:rFonts w:hint="eastAsia" w:ascii="Times New Roman" w:hAnsi="方正仿宋_GBK" w:eastAsia="方正仿宋_GBK" w:cs="方正仿宋_GBK"/>
          <w:sz w:val="32"/>
          <w:szCs w:val="32"/>
        </w:rPr>
        <w:t>人次。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未发现企业存在环境违法行为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838"/>
        <w:gridCol w:w="1598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沈化测试技术(南通)有限公司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南通市海门区滨江街道第一社区卫生服务中心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纳琳科新材料(南通)有限公司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海门派特宠物医院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南通江勤美金属制品有限公司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海门区健萍诊所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3C0041" w:csb1="A00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0F320FE9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C2E31BB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EB224EB"/>
    <w:rsid w:val="50574B47"/>
    <w:rsid w:val="50A278B3"/>
    <w:rsid w:val="51F96530"/>
    <w:rsid w:val="52595FBA"/>
    <w:rsid w:val="534C1A5D"/>
    <w:rsid w:val="58C11DB5"/>
    <w:rsid w:val="5ACD01AD"/>
    <w:rsid w:val="5EA005FA"/>
    <w:rsid w:val="62905EE5"/>
    <w:rsid w:val="63D0187D"/>
    <w:rsid w:val="6C26648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1804</Words>
  <Characters>1871</Characters>
  <Lines>5</Lines>
  <Paragraphs>1</Paragraphs>
  <TotalTime>1</TotalTime>
  <ScaleCrop>false</ScaleCrop>
  <LinksUpToDate>false</LinksUpToDate>
  <CharactersWithSpaces>1871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2020-10-10T04:43:00Z</cp:lastPrinted>
  <dcterms:modified xsi:type="dcterms:W3CDTF">2024-12-03T06:31:58Z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272891FE03344F2BA3B84331147ED753</vt:lpwstr>
  </property>
</Properties>
</file>